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3C84" w:rsidRDefault="006B3C84" w:rsidP="00211155">
      <w:pPr>
        <w:spacing w:after="0" w:line="480" w:lineRule="auto"/>
        <w:rPr>
          <w:rFonts w:ascii="Times New Roman" w:hAnsi="Times New Roman" w:cs="Times New Roman"/>
          <w:sz w:val="24"/>
          <w:szCs w:val="24"/>
        </w:rPr>
      </w:pPr>
      <w:bookmarkStart w:id="0" w:name="_GoBack"/>
      <w:bookmarkEnd w:id="0"/>
    </w:p>
    <w:p w:rsidR="006B3C84" w:rsidRDefault="006B3C84" w:rsidP="00211155">
      <w:pPr>
        <w:spacing w:after="0" w:line="480" w:lineRule="auto"/>
        <w:rPr>
          <w:rFonts w:ascii="Times New Roman" w:hAnsi="Times New Roman" w:cs="Times New Roman"/>
          <w:sz w:val="24"/>
          <w:szCs w:val="24"/>
        </w:rPr>
      </w:pPr>
    </w:p>
    <w:p w:rsidR="006B3C84" w:rsidRDefault="006B3C84" w:rsidP="00211155">
      <w:pPr>
        <w:spacing w:after="0" w:line="480" w:lineRule="auto"/>
        <w:rPr>
          <w:rFonts w:ascii="Times New Roman" w:hAnsi="Times New Roman" w:cs="Times New Roman"/>
          <w:sz w:val="24"/>
          <w:szCs w:val="24"/>
        </w:rPr>
      </w:pPr>
    </w:p>
    <w:p w:rsidR="006B3C84" w:rsidRDefault="006B3C84" w:rsidP="00211155">
      <w:pPr>
        <w:spacing w:after="0" w:line="480" w:lineRule="auto"/>
        <w:rPr>
          <w:rFonts w:ascii="Times New Roman" w:hAnsi="Times New Roman" w:cs="Times New Roman"/>
          <w:sz w:val="24"/>
          <w:szCs w:val="24"/>
        </w:rPr>
      </w:pPr>
    </w:p>
    <w:p w:rsidR="006B3C84" w:rsidRDefault="006B3C84" w:rsidP="00211155">
      <w:pPr>
        <w:spacing w:after="0" w:line="480" w:lineRule="auto"/>
        <w:rPr>
          <w:rFonts w:ascii="Times New Roman" w:hAnsi="Times New Roman" w:cs="Times New Roman"/>
          <w:sz w:val="24"/>
          <w:szCs w:val="24"/>
        </w:rPr>
      </w:pPr>
    </w:p>
    <w:p w:rsidR="006B3C84" w:rsidRDefault="006B3C84" w:rsidP="00211155">
      <w:pPr>
        <w:spacing w:after="0" w:line="480" w:lineRule="auto"/>
        <w:rPr>
          <w:rFonts w:ascii="Times New Roman" w:hAnsi="Times New Roman" w:cs="Times New Roman"/>
          <w:sz w:val="24"/>
          <w:szCs w:val="24"/>
        </w:rPr>
      </w:pPr>
    </w:p>
    <w:p w:rsidR="006B3C84" w:rsidRDefault="006B3C84" w:rsidP="00211155">
      <w:pPr>
        <w:spacing w:after="0" w:line="480" w:lineRule="auto"/>
        <w:rPr>
          <w:rFonts w:ascii="Times New Roman" w:hAnsi="Times New Roman" w:cs="Times New Roman"/>
          <w:sz w:val="24"/>
          <w:szCs w:val="24"/>
        </w:rPr>
      </w:pPr>
    </w:p>
    <w:p w:rsidR="006B3C84" w:rsidRDefault="006B3C84" w:rsidP="00211155">
      <w:pPr>
        <w:spacing w:after="0" w:line="480" w:lineRule="auto"/>
        <w:rPr>
          <w:rFonts w:ascii="Times New Roman" w:hAnsi="Times New Roman" w:cs="Times New Roman"/>
          <w:sz w:val="24"/>
          <w:szCs w:val="24"/>
        </w:rPr>
      </w:pPr>
    </w:p>
    <w:p w:rsidR="006B3C84" w:rsidRDefault="006B3C84" w:rsidP="00211155">
      <w:pPr>
        <w:spacing w:after="0" w:line="480" w:lineRule="auto"/>
        <w:rPr>
          <w:rFonts w:ascii="Times New Roman" w:hAnsi="Times New Roman" w:cs="Times New Roman"/>
          <w:sz w:val="24"/>
          <w:szCs w:val="24"/>
        </w:rPr>
      </w:pPr>
    </w:p>
    <w:p w:rsidR="006B3C84" w:rsidRDefault="006B3C84" w:rsidP="00211155">
      <w:pPr>
        <w:spacing w:after="0" w:line="480" w:lineRule="auto"/>
        <w:rPr>
          <w:rFonts w:ascii="Times New Roman" w:hAnsi="Times New Roman" w:cs="Times New Roman"/>
          <w:sz w:val="24"/>
          <w:szCs w:val="24"/>
        </w:rPr>
      </w:pPr>
    </w:p>
    <w:p w:rsidR="00211155" w:rsidRDefault="00211155" w:rsidP="006B3C8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The Christological Controversies of the Ecumenical Council</w:t>
      </w:r>
    </w:p>
    <w:p w:rsidR="006B3C84" w:rsidRDefault="006B3C84" w:rsidP="006B3C8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B3C84" w:rsidRDefault="006B3C84" w:rsidP="006B3C8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Institution’s Affiliation</w:t>
      </w:r>
    </w:p>
    <w:p w:rsidR="006B3C84" w:rsidRDefault="006B3C84" w:rsidP="00211155">
      <w:pPr>
        <w:spacing w:after="0" w:line="480" w:lineRule="auto"/>
        <w:ind w:firstLine="720"/>
        <w:rPr>
          <w:rFonts w:ascii="Times New Roman" w:hAnsi="Times New Roman" w:cs="Times New Roman"/>
          <w:sz w:val="24"/>
          <w:szCs w:val="24"/>
        </w:rPr>
      </w:pPr>
    </w:p>
    <w:p w:rsidR="006B3C84" w:rsidRDefault="006B3C84" w:rsidP="00211155">
      <w:pPr>
        <w:spacing w:after="0" w:line="480" w:lineRule="auto"/>
        <w:ind w:firstLine="720"/>
        <w:rPr>
          <w:rFonts w:ascii="Times New Roman" w:hAnsi="Times New Roman" w:cs="Times New Roman"/>
          <w:sz w:val="24"/>
          <w:szCs w:val="24"/>
        </w:rPr>
      </w:pPr>
    </w:p>
    <w:p w:rsidR="006B3C84" w:rsidRDefault="006B3C84" w:rsidP="00211155">
      <w:pPr>
        <w:spacing w:after="0" w:line="480" w:lineRule="auto"/>
        <w:ind w:firstLine="720"/>
        <w:rPr>
          <w:rFonts w:ascii="Times New Roman" w:hAnsi="Times New Roman" w:cs="Times New Roman"/>
          <w:sz w:val="24"/>
          <w:szCs w:val="24"/>
        </w:rPr>
      </w:pPr>
    </w:p>
    <w:p w:rsidR="006B3C84" w:rsidRDefault="006B3C84" w:rsidP="00211155">
      <w:pPr>
        <w:spacing w:after="0" w:line="480" w:lineRule="auto"/>
        <w:ind w:firstLine="720"/>
        <w:rPr>
          <w:rFonts w:ascii="Times New Roman" w:hAnsi="Times New Roman" w:cs="Times New Roman"/>
          <w:sz w:val="24"/>
          <w:szCs w:val="24"/>
        </w:rPr>
      </w:pPr>
    </w:p>
    <w:p w:rsidR="006B3C84" w:rsidRDefault="006B3C84" w:rsidP="00211155">
      <w:pPr>
        <w:spacing w:after="0" w:line="480" w:lineRule="auto"/>
        <w:ind w:firstLine="720"/>
        <w:rPr>
          <w:rFonts w:ascii="Times New Roman" w:hAnsi="Times New Roman" w:cs="Times New Roman"/>
          <w:sz w:val="24"/>
          <w:szCs w:val="24"/>
        </w:rPr>
      </w:pPr>
    </w:p>
    <w:p w:rsidR="006B3C84" w:rsidRDefault="006B3C84" w:rsidP="00211155">
      <w:pPr>
        <w:spacing w:after="0" w:line="480" w:lineRule="auto"/>
        <w:ind w:firstLine="720"/>
        <w:rPr>
          <w:rFonts w:ascii="Times New Roman" w:hAnsi="Times New Roman" w:cs="Times New Roman"/>
          <w:sz w:val="24"/>
          <w:szCs w:val="24"/>
        </w:rPr>
      </w:pPr>
    </w:p>
    <w:p w:rsidR="006B3C84" w:rsidRDefault="006B3C84" w:rsidP="00211155">
      <w:pPr>
        <w:spacing w:after="0" w:line="480" w:lineRule="auto"/>
        <w:ind w:firstLine="720"/>
        <w:rPr>
          <w:rFonts w:ascii="Times New Roman" w:hAnsi="Times New Roman" w:cs="Times New Roman"/>
          <w:sz w:val="24"/>
          <w:szCs w:val="24"/>
        </w:rPr>
      </w:pPr>
    </w:p>
    <w:p w:rsidR="006B3C84" w:rsidRDefault="006B3C84" w:rsidP="00211155">
      <w:pPr>
        <w:spacing w:after="0" w:line="480" w:lineRule="auto"/>
        <w:ind w:firstLine="720"/>
        <w:rPr>
          <w:rFonts w:ascii="Times New Roman" w:hAnsi="Times New Roman" w:cs="Times New Roman"/>
          <w:sz w:val="24"/>
          <w:szCs w:val="24"/>
        </w:rPr>
      </w:pPr>
    </w:p>
    <w:p w:rsidR="006B3C84" w:rsidRDefault="006B3C84" w:rsidP="00211155">
      <w:pPr>
        <w:spacing w:after="0" w:line="480" w:lineRule="auto"/>
        <w:ind w:firstLine="720"/>
        <w:rPr>
          <w:rFonts w:ascii="Times New Roman" w:hAnsi="Times New Roman" w:cs="Times New Roman"/>
          <w:sz w:val="24"/>
          <w:szCs w:val="24"/>
        </w:rPr>
      </w:pPr>
    </w:p>
    <w:p w:rsidR="006B3C84" w:rsidRDefault="006B3C84" w:rsidP="00211155">
      <w:pPr>
        <w:spacing w:after="0" w:line="480" w:lineRule="auto"/>
        <w:ind w:firstLine="720"/>
        <w:rPr>
          <w:rFonts w:ascii="Times New Roman" w:hAnsi="Times New Roman" w:cs="Times New Roman"/>
          <w:sz w:val="24"/>
          <w:szCs w:val="24"/>
        </w:rPr>
      </w:pPr>
    </w:p>
    <w:p w:rsidR="006B3C84" w:rsidRDefault="006B3C84" w:rsidP="006B3C8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The Christological Controversies of the Ecumenical Council</w:t>
      </w:r>
    </w:p>
    <w:p w:rsidR="00211155" w:rsidRDefault="00211155" w:rsidP="00211155">
      <w:pPr>
        <w:spacing w:after="0" w:line="480" w:lineRule="auto"/>
        <w:ind w:firstLine="720"/>
        <w:rPr>
          <w:rFonts w:ascii="Times New Roman" w:hAnsi="Times New Roman" w:cs="Times New Roman"/>
          <w:sz w:val="24"/>
          <w:szCs w:val="24"/>
        </w:rPr>
      </w:pPr>
      <w:r w:rsidRPr="00211155">
        <w:rPr>
          <w:rFonts w:ascii="Times New Roman" w:hAnsi="Times New Roman" w:cs="Times New Roman"/>
          <w:sz w:val="24"/>
          <w:szCs w:val="24"/>
        </w:rPr>
        <w:t xml:space="preserve">The beginning of the journey of Christianity by the founders like Paul and Peter as the different beliefs of the Christians suggests Christians and the church have been dealing with various controversies concerning the whole issues of Jesus as the God or as human. Many of the things that Jesus did like his work in the favor of the universal church and his nature as a central being in the life of Christianity have been questioned especially by thinkers and theologians. With the more understanding and rebellion of the orthodoxy whose understanding is different from the beliefs of the Christians a lot of questions have been asked sparking important debates on the issue of the person Jesus or Christ. To deal with questions and debates, the Ecumenical council which holds the church representatives in the fourth and fifth centuries met to come up with the conclusions to curb the menace of the Christ understanding. The formation of the ecumenical council which comprised of four councils was mainly to discuss the controversies of the Christianity and come to light with the decrees regarding Christianity. The four ecumenical councils included; the council of Nicaea, Constantinople, Ephesus, and Chalcedon. This paper examines the major Christological controversies that were discussed in the ecumenical councils of the fourth and fifth centuries. </w:t>
      </w:r>
    </w:p>
    <w:p w:rsidR="00211155" w:rsidRPr="006B3C84" w:rsidRDefault="00211155" w:rsidP="006B3C84">
      <w:pPr>
        <w:spacing w:after="0" w:line="480" w:lineRule="auto"/>
        <w:jc w:val="center"/>
        <w:rPr>
          <w:rFonts w:ascii="Times New Roman" w:hAnsi="Times New Roman" w:cs="Times New Roman"/>
          <w:b/>
          <w:sz w:val="24"/>
          <w:szCs w:val="24"/>
        </w:rPr>
      </w:pPr>
      <w:r w:rsidRPr="006B3C84">
        <w:rPr>
          <w:rFonts w:ascii="Times New Roman" w:hAnsi="Times New Roman" w:cs="Times New Roman"/>
          <w:b/>
          <w:sz w:val="24"/>
          <w:szCs w:val="24"/>
        </w:rPr>
        <w:t>The Christological Controversies</w:t>
      </w:r>
    </w:p>
    <w:p w:rsidR="00211155" w:rsidRPr="00211155" w:rsidRDefault="00211155" w:rsidP="00211155">
      <w:pPr>
        <w:spacing w:after="0" w:line="480" w:lineRule="auto"/>
        <w:ind w:firstLine="720"/>
        <w:rPr>
          <w:rFonts w:ascii="Times New Roman" w:hAnsi="Times New Roman" w:cs="Times New Roman"/>
          <w:sz w:val="24"/>
          <w:szCs w:val="24"/>
        </w:rPr>
      </w:pPr>
      <w:r w:rsidRPr="00211155">
        <w:rPr>
          <w:rFonts w:ascii="Times New Roman" w:hAnsi="Times New Roman" w:cs="Times New Roman"/>
          <w:sz w:val="24"/>
          <w:szCs w:val="24"/>
        </w:rPr>
        <w:t>The first controversy is the Arius controversy which according to the man Arius to whom it was named after, called it a heresy of the church. This controversy sets Jesus as the Supreme begin before all the creation of the God. However, it denied Jesus his divinity. With Arius understanding, he refused to recognize Jesus to come from the same level as God the Father</w:t>
      </w:r>
      <w:r w:rsidR="006B3C84">
        <w:rPr>
          <w:rFonts w:ascii="Times New Roman" w:hAnsi="Times New Roman" w:cs="Times New Roman"/>
          <w:sz w:val="24"/>
          <w:szCs w:val="24"/>
        </w:rPr>
        <w:t xml:space="preserve"> (Bingham, 2014)</w:t>
      </w:r>
      <w:r w:rsidRPr="00211155">
        <w:rPr>
          <w:rFonts w:ascii="Times New Roman" w:hAnsi="Times New Roman" w:cs="Times New Roman"/>
          <w:sz w:val="24"/>
          <w:szCs w:val="24"/>
        </w:rPr>
        <w:t xml:space="preserve">. According to Arius beliefs, everything was made by God and the logos/words/ reasons all were God and not the son. As Kerr (2010) explains many of the educated and cultured </w:t>
      </w:r>
      <w:r w:rsidRPr="00211155">
        <w:rPr>
          <w:rFonts w:ascii="Times New Roman" w:hAnsi="Times New Roman" w:cs="Times New Roman"/>
          <w:sz w:val="24"/>
          <w:szCs w:val="24"/>
        </w:rPr>
        <w:lastRenderedPageBreak/>
        <w:t>fellows in Greek and Roman during the fourth and fifth century, the Christian theology appeared one of the uttermost nonsense. These made Arius back his view about Jesus as just a creation but not divine as claimed by Christian theology.</w:t>
      </w:r>
    </w:p>
    <w:p w:rsidR="00211155" w:rsidRPr="00211155" w:rsidRDefault="00211155" w:rsidP="00211155">
      <w:pPr>
        <w:spacing w:after="0" w:line="480" w:lineRule="auto"/>
        <w:ind w:firstLine="720"/>
        <w:rPr>
          <w:rFonts w:ascii="Times New Roman" w:hAnsi="Times New Roman" w:cs="Times New Roman"/>
          <w:sz w:val="24"/>
          <w:szCs w:val="24"/>
        </w:rPr>
      </w:pPr>
      <w:r w:rsidRPr="00211155">
        <w:rPr>
          <w:rFonts w:ascii="Times New Roman" w:hAnsi="Times New Roman" w:cs="Times New Roman"/>
          <w:sz w:val="24"/>
          <w:szCs w:val="24"/>
        </w:rPr>
        <w:t xml:space="preserve">The second controversy is the Nestorianism which called for disunion between Jesus’ humanity and divinity. To Nestorius Jesus, humanity and divinity were two different things that could not be used to refer to one thing. According to Nestorius the humanity and divinity of Jesus described him as a person. According to </w:t>
      </w:r>
      <w:r>
        <w:rPr>
          <w:rFonts w:ascii="Times New Roman" w:hAnsi="Times New Roman" w:cs="Times New Roman"/>
          <w:sz w:val="24"/>
          <w:szCs w:val="24"/>
        </w:rPr>
        <w:t>Harsch, Butler, and Diegue (2014</w:t>
      </w:r>
      <w:r w:rsidRPr="00211155">
        <w:rPr>
          <w:rFonts w:ascii="Times New Roman" w:hAnsi="Times New Roman" w:cs="Times New Roman"/>
          <w:sz w:val="24"/>
          <w:szCs w:val="24"/>
        </w:rPr>
        <w:t xml:space="preserve">), the union of the human and divine nature of Jesus is like a union of husband and wife. Although the union becomes one flesh, the fact that they are two distinct people and nature remains the same. To his defense, Nestorius was against the use of the name of ‘God-Bearer’ or ‘Mother of God’ for Mary instead uses ‘Mother of Christ’. This was from the fact that Jesus came from the same race as the human which makes his debt payment valid to human beings (Harsch, Buttler and Diegue, 2014). </w:t>
      </w:r>
    </w:p>
    <w:p w:rsidR="00211155" w:rsidRPr="00211155" w:rsidRDefault="00211155" w:rsidP="00211155">
      <w:pPr>
        <w:spacing w:after="0" w:line="480" w:lineRule="auto"/>
        <w:ind w:firstLine="720"/>
        <w:rPr>
          <w:rFonts w:ascii="Times New Roman" w:hAnsi="Times New Roman" w:cs="Times New Roman"/>
          <w:sz w:val="24"/>
          <w:szCs w:val="24"/>
        </w:rPr>
      </w:pPr>
      <w:r w:rsidRPr="00211155">
        <w:rPr>
          <w:rFonts w:ascii="Times New Roman" w:hAnsi="Times New Roman" w:cs="Times New Roman"/>
          <w:sz w:val="24"/>
          <w:szCs w:val="24"/>
        </w:rPr>
        <w:t>The other controversy was the Apollinarianism which supported the full divinity of Jesus Christ. Being a strong opponent of Arius, Apollinaris agreed that to some extent Jesus had divinity in him which was a problem for many Christians on the nature of the Jesus, mind, and soul. To Apollinaris, the human nature of Jesus was out of the question because the human nature of Jesus was infused by his divinity that his divinity possessed his human nature, thus, having</w:t>
      </w:r>
      <w:r>
        <w:rPr>
          <w:rFonts w:ascii="Times New Roman" w:hAnsi="Times New Roman" w:cs="Times New Roman"/>
          <w:sz w:val="24"/>
          <w:szCs w:val="24"/>
        </w:rPr>
        <w:t xml:space="preserve"> one nature (Harsch et al., 2014</w:t>
      </w:r>
      <w:r w:rsidRPr="00211155">
        <w:rPr>
          <w:rFonts w:ascii="Times New Roman" w:hAnsi="Times New Roman" w:cs="Times New Roman"/>
          <w:sz w:val="24"/>
          <w:szCs w:val="24"/>
        </w:rPr>
        <w:t>).</w:t>
      </w:r>
    </w:p>
    <w:p w:rsidR="006B3C84" w:rsidRDefault="00211155" w:rsidP="00211155">
      <w:pPr>
        <w:spacing w:after="0" w:line="480" w:lineRule="auto"/>
        <w:ind w:firstLine="720"/>
        <w:rPr>
          <w:rFonts w:ascii="Times New Roman" w:hAnsi="Times New Roman" w:cs="Times New Roman"/>
          <w:sz w:val="24"/>
          <w:szCs w:val="24"/>
        </w:rPr>
      </w:pPr>
      <w:r w:rsidRPr="00211155">
        <w:rPr>
          <w:rFonts w:ascii="Times New Roman" w:hAnsi="Times New Roman" w:cs="Times New Roman"/>
          <w:sz w:val="24"/>
          <w:szCs w:val="24"/>
        </w:rPr>
        <w:t xml:space="preserve">The last controversy was the Eutychianism which had almost the same view as that of Apollinaris on the divine and human nature of Jesus. Eutyches having a good reputation in the society led more than three hundred monks. In the Eutychianism views the human nature and the divine nature of Jesus should be viewed as one. This is because, before the union of the human </w:t>
      </w:r>
      <w:r w:rsidRPr="00211155">
        <w:rPr>
          <w:rFonts w:ascii="Times New Roman" w:hAnsi="Times New Roman" w:cs="Times New Roman"/>
          <w:sz w:val="24"/>
          <w:szCs w:val="24"/>
        </w:rPr>
        <w:lastRenderedPageBreak/>
        <w:t>nature and divinity, the two can be considered two, however, after the union, the divine nature overrules the human making his divinity overall.</w:t>
      </w:r>
    </w:p>
    <w:p w:rsidR="006B3C84" w:rsidRPr="006B3C84" w:rsidRDefault="006B3C84" w:rsidP="006B3C84">
      <w:pPr>
        <w:spacing w:after="0" w:line="480" w:lineRule="auto"/>
        <w:jc w:val="center"/>
        <w:rPr>
          <w:rFonts w:ascii="Times New Roman" w:hAnsi="Times New Roman" w:cs="Times New Roman"/>
          <w:b/>
          <w:sz w:val="24"/>
          <w:szCs w:val="24"/>
        </w:rPr>
      </w:pPr>
      <w:r w:rsidRPr="006B3C84">
        <w:rPr>
          <w:rFonts w:ascii="Times New Roman" w:hAnsi="Times New Roman" w:cs="Times New Roman"/>
          <w:b/>
          <w:sz w:val="24"/>
          <w:szCs w:val="24"/>
        </w:rPr>
        <w:t>The Outcome of the Councils</w:t>
      </w:r>
    </w:p>
    <w:p w:rsidR="006B3C84" w:rsidRPr="00344FF1" w:rsidRDefault="006B3C84" w:rsidP="006B3C84">
      <w:pPr>
        <w:spacing w:after="0" w:line="480" w:lineRule="auto"/>
        <w:ind w:firstLine="720"/>
        <w:rPr>
          <w:rFonts w:ascii="Times New Roman" w:hAnsi="Times New Roman" w:cs="Times New Roman"/>
          <w:sz w:val="24"/>
          <w:szCs w:val="24"/>
        </w:rPr>
      </w:pPr>
      <w:r w:rsidRPr="00344FF1">
        <w:rPr>
          <w:rFonts w:ascii="Times New Roman" w:hAnsi="Times New Roman" w:cs="Times New Roman"/>
          <w:sz w:val="24"/>
          <w:szCs w:val="24"/>
        </w:rPr>
        <w:t xml:space="preserve">Each of the councils played a critical role in understanding the theological administrative perspectives. For example, the council of Chalcedon expanded the clarification of the nature of Christ as well as the orthodox doctrine of the Trinity. The Chalcedonian definition or creed argued that Jesus is to be “acknowledged in two natures” (Lane, 2006). The council of Chalcedon expanded the discussion of the other councils such as the council of Nicaea. In order to understand the outcome and significance of the Council of Chalcedon, one must first look at the councils that came before like the council of Nicaea. </w:t>
      </w:r>
    </w:p>
    <w:p w:rsidR="006B3C84" w:rsidRPr="00344FF1" w:rsidRDefault="006B3C84" w:rsidP="006B3C84">
      <w:pPr>
        <w:spacing w:after="0" w:line="480" w:lineRule="auto"/>
        <w:ind w:firstLine="720"/>
        <w:rPr>
          <w:rFonts w:ascii="Times New Roman" w:hAnsi="Times New Roman" w:cs="Times New Roman"/>
          <w:sz w:val="24"/>
          <w:szCs w:val="24"/>
        </w:rPr>
      </w:pPr>
      <w:r w:rsidRPr="00344FF1">
        <w:rPr>
          <w:rFonts w:ascii="Times New Roman" w:hAnsi="Times New Roman" w:cs="Times New Roman"/>
          <w:sz w:val="24"/>
          <w:szCs w:val="24"/>
        </w:rPr>
        <w:t xml:space="preserve">The council of Nicaea, which happened in Asia Minor, affirmed the deity and eternality of Jesus Christ. The council further affirmed the Trinity through their definition of the relationship between Father and the Son as one entity. Since the end of the apostolic age, Christians were concerned with the person Jesus (Cairns, 1996). Many people questioned Jesus’ identity; whether he was more divine than human or more human than divine. At the council made of 300 bishops voted, through the Nicene Creed, for Jesus’ deity and divinity to be accepted in the church (Cairns, 1996). The council upheld what the Bible already taught about Christ’s true divinity. It is important to note that the council of Nicaea did not invent the idea of the deity of Christ, but instead, it affirmed what had already been there in the Bible. </w:t>
      </w:r>
    </w:p>
    <w:p w:rsidR="006B3C84" w:rsidRPr="00344FF1" w:rsidRDefault="006B3C84" w:rsidP="006B3C84">
      <w:pPr>
        <w:spacing w:after="0" w:line="480" w:lineRule="auto"/>
        <w:ind w:firstLine="720"/>
        <w:rPr>
          <w:rFonts w:ascii="Times New Roman" w:hAnsi="Times New Roman" w:cs="Times New Roman"/>
          <w:sz w:val="24"/>
          <w:szCs w:val="24"/>
        </w:rPr>
      </w:pPr>
      <w:r w:rsidRPr="00344FF1">
        <w:rPr>
          <w:rFonts w:ascii="Times New Roman" w:hAnsi="Times New Roman" w:cs="Times New Roman"/>
          <w:sz w:val="24"/>
          <w:szCs w:val="24"/>
        </w:rPr>
        <w:t xml:space="preserve">Just like the council of Nicaea, the Council of Ephesus also acknowledged the divinity and deity of Jesus Christ. It rejected the council of Constantinople, which claimed that Christ’s two natures were two separate things. The council of Constantinople argued that Christ’ divine and humanity were separate (Cairns, 1996). The council of Ephesus scrutinized the </w:t>
      </w:r>
      <w:r w:rsidRPr="00344FF1">
        <w:rPr>
          <w:rFonts w:ascii="Times New Roman" w:hAnsi="Times New Roman" w:cs="Times New Roman"/>
          <w:sz w:val="24"/>
          <w:szCs w:val="24"/>
        </w:rPr>
        <w:lastRenderedPageBreak/>
        <w:t xml:space="preserve">Constantinople and after which it re-affirmed the Nicene Creed by accepting Mary as the mother of Christ. </w:t>
      </w:r>
    </w:p>
    <w:p w:rsidR="006B3C84" w:rsidRPr="00344FF1" w:rsidRDefault="006B3C84" w:rsidP="006B3C84">
      <w:pPr>
        <w:spacing w:after="0" w:line="480" w:lineRule="auto"/>
        <w:ind w:firstLine="720"/>
        <w:rPr>
          <w:rFonts w:ascii="Times New Roman" w:hAnsi="Times New Roman" w:cs="Times New Roman"/>
          <w:sz w:val="24"/>
          <w:szCs w:val="24"/>
        </w:rPr>
      </w:pPr>
      <w:r w:rsidRPr="00344FF1">
        <w:rPr>
          <w:rFonts w:ascii="Times New Roman" w:hAnsi="Times New Roman" w:cs="Times New Roman"/>
          <w:sz w:val="24"/>
          <w:szCs w:val="24"/>
        </w:rPr>
        <w:t xml:space="preserve">The different councils came up with various definitions and conclusions regarding the personality of Jesus Christ because of the different ideologies between the Western and Eastern churches. Most of the councils like the Chalcedonian definition emerged at the center of the controversy between the Western and Eastern churches. Both sides had a different meaning of the incarnation (Bindley &amp; Green, 1950). As a result, the Western churches accepted the Chalcedonian Creed and the Eastern churches refused to accept it. </w:t>
      </w:r>
    </w:p>
    <w:p w:rsidR="006B3C84" w:rsidRPr="00344FF1" w:rsidRDefault="006B3C84" w:rsidP="006B3C84">
      <w:pPr>
        <w:spacing w:after="0" w:line="480" w:lineRule="auto"/>
        <w:ind w:firstLine="720"/>
        <w:rPr>
          <w:rFonts w:ascii="Times New Roman" w:hAnsi="Times New Roman" w:cs="Times New Roman"/>
          <w:sz w:val="24"/>
          <w:szCs w:val="24"/>
        </w:rPr>
      </w:pPr>
      <w:r w:rsidRPr="00344FF1">
        <w:rPr>
          <w:rFonts w:ascii="Times New Roman" w:hAnsi="Times New Roman" w:cs="Times New Roman"/>
          <w:sz w:val="24"/>
          <w:szCs w:val="24"/>
        </w:rPr>
        <w:t xml:space="preserve">Each of the conclusions influenced the church in a different way. For instance, the Chalcedonian Creed, which affirmed that Christ was both man and God in nature, made it easier for the church to identify the error. The council of Ephesus, Chalcedonian Creed, and Nicaea Creed affirmed the deity and divinity of Jesus Christ; thus, promoting the understanding of hypostatic union in the church. Both the council of Chalcedon and Ephesus acknowledged Mary as the mother of Christ. Over time, the churches that accepted their doctrines developed a great respect for Mary and the belief that her perpetual virginity, sinlessness as well as cooperative work was widely acknowledged in the churches. </w:t>
      </w:r>
    </w:p>
    <w:p w:rsidR="006B3C84" w:rsidRPr="006B3C84" w:rsidRDefault="006B3C84" w:rsidP="006B3C84">
      <w:pPr>
        <w:spacing w:after="0" w:line="480" w:lineRule="auto"/>
        <w:jc w:val="center"/>
        <w:rPr>
          <w:rFonts w:ascii="Times New Roman" w:hAnsi="Times New Roman" w:cs="Times New Roman"/>
          <w:b/>
          <w:sz w:val="24"/>
          <w:szCs w:val="24"/>
        </w:rPr>
      </w:pPr>
      <w:r w:rsidRPr="006B3C84">
        <w:rPr>
          <w:rFonts w:ascii="Times New Roman" w:hAnsi="Times New Roman" w:cs="Times New Roman"/>
          <w:b/>
          <w:sz w:val="24"/>
          <w:szCs w:val="24"/>
        </w:rPr>
        <w:t>Application and Analysis</w:t>
      </w:r>
    </w:p>
    <w:p w:rsidR="006B3C84" w:rsidRPr="00344FF1" w:rsidRDefault="006B3C84" w:rsidP="006B3C84">
      <w:pPr>
        <w:spacing w:after="0" w:line="480" w:lineRule="auto"/>
        <w:ind w:firstLine="720"/>
        <w:rPr>
          <w:rFonts w:ascii="Times New Roman" w:hAnsi="Times New Roman" w:cs="Times New Roman"/>
          <w:sz w:val="24"/>
          <w:szCs w:val="24"/>
        </w:rPr>
      </w:pPr>
      <w:r w:rsidRPr="00344FF1">
        <w:rPr>
          <w:rFonts w:ascii="Times New Roman" w:hAnsi="Times New Roman" w:cs="Times New Roman"/>
          <w:sz w:val="24"/>
          <w:szCs w:val="24"/>
        </w:rPr>
        <w:t xml:space="preserve">The Christology of Christ in the contemporary church is that Jesus is the son of God at the same time God. This doctrine is supported by the Trinity, which identifies Christ as three in one; the Son, Holy Spirit, and the Father. After ascending to heaven, the contemporary church believes that Jesus was accorded the same power as God. He rules besides God. Similarly, with the Nicene Creed, this Christology accepts the deity and divinity of Christ. Christian fellowship or churches today accept that Jesus was both man and God. The same way, the Nicene Creed </w:t>
      </w:r>
      <w:r w:rsidRPr="00344FF1">
        <w:rPr>
          <w:rFonts w:ascii="Times New Roman" w:hAnsi="Times New Roman" w:cs="Times New Roman"/>
          <w:sz w:val="24"/>
          <w:szCs w:val="24"/>
        </w:rPr>
        <w:lastRenderedPageBreak/>
        <w:t xml:space="preserve">accepted, the contemporary church also believes that Jesus Christ was God in human form. The contemporary church believes that God appeared in human form as Jesus. After he died, he gained back the glory that made him overcome death. </w:t>
      </w:r>
    </w:p>
    <w:p w:rsidR="006B3C84" w:rsidRPr="00344FF1" w:rsidRDefault="006B3C84" w:rsidP="006B3C84">
      <w:pPr>
        <w:spacing w:after="0" w:line="480" w:lineRule="auto"/>
        <w:ind w:firstLine="720"/>
        <w:rPr>
          <w:rFonts w:ascii="Times New Roman" w:hAnsi="Times New Roman" w:cs="Times New Roman"/>
          <w:sz w:val="24"/>
          <w:szCs w:val="24"/>
        </w:rPr>
      </w:pPr>
      <w:r w:rsidRPr="00344FF1">
        <w:rPr>
          <w:rFonts w:ascii="Times New Roman" w:hAnsi="Times New Roman" w:cs="Times New Roman"/>
          <w:sz w:val="24"/>
          <w:szCs w:val="24"/>
        </w:rPr>
        <w:t xml:space="preserve">I believe that my Christian fellowship adherence expands the message of salvation because in each case, Christ is perceived as God. Salvation revolves around accepting and acknowledging the divinity of Jesus Christ; it is all about accepting that Jesus was divine. Since Nicene Creed also accepts that Christ’ divinity was true, it only extends the Christian fellowship adherence. </w:t>
      </w:r>
    </w:p>
    <w:p w:rsidR="006B3C84" w:rsidRPr="00344FF1" w:rsidRDefault="006B3C84" w:rsidP="006B3C84">
      <w:pPr>
        <w:spacing w:after="0" w:line="480" w:lineRule="auto"/>
        <w:ind w:firstLine="720"/>
        <w:rPr>
          <w:rFonts w:ascii="Times New Roman" w:hAnsi="Times New Roman" w:cs="Times New Roman"/>
          <w:sz w:val="24"/>
          <w:szCs w:val="24"/>
        </w:rPr>
      </w:pPr>
      <w:r w:rsidRPr="00344FF1">
        <w:rPr>
          <w:rFonts w:ascii="Times New Roman" w:hAnsi="Times New Roman" w:cs="Times New Roman"/>
          <w:sz w:val="24"/>
          <w:szCs w:val="24"/>
        </w:rPr>
        <w:t xml:space="preserve">I believe that the contemporary Christian’s thinking should become aligned with the Nicene Creed because the doctrines of the two are aligned and the same. Both contemporary Christians and the Nicene Creed accept and acknowledge the divinity, deity, and human natures of Christ. Since they both support the salvation message, it is important to align them. </w:t>
      </w:r>
    </w:p>
    <w:p w:rsidR="00DD56A9" w:rsidRDefault="00211155" w:rsidP="00211155">
      <w:pPr>
        <w:spacing w:after="0" w:line="480" w:lineRule="auto"/>
        <w:ind w:firstLine="720"/>
        <w:rPr>
          <w:rFonts w:ascii="Times New Roman" w:hAnsi="Times New Roman" w:cs="Times New Roman"/>
          <w:sz w:val="24"/>
          <w:szCs w:val="24"/>
        </w:rPr>
      </w:pPr>
      <w:r w:rsidRPr="00211155">
        <w:rPr>
          <w:rFonts w:ascii="Times New Roman" w:hAnsi="Times New Roman" w:cs="Times New Roman"/>
          <w:sz w:val="24"/>
          <w:szCs w:val="24"/>
        </w:rPr>
        <w:t xml:space="preserve">  </w:t>
      </w:r>
      <w:r w:rsidR="00EB214B">
        <w:rPr>
          <w:rFonts w:ascii="Times New Roman" w:hAnsi="Times New Roman" w:cs="Times New Roman"/>
          <w:sz w:val="24"/>
          <w:szCs w:val="24"/>
        </w:rPr>
        <w:t xml:space="preserve"> </w:t>
      </w:r>
    </w:p>
    <w:p w:rsidR="006B3C84" w:rsidRDefault="006B3C84" w:rsidP="00211155">
      <w:pPr>
        <w:spacing w:after="0" w:line="480" w:lineRule="auto"/>
        <w:rPr>
          <w:rFonts w:ascii="Arial" w:hAnsi="Arial" w:cs="Arial"/>
          <w:color w:val="222222"/>
          <w:sz w:val="20"/>
          <w:szCs w:val="20"/>
          <w:shd w:val="clear" w:color="auto" w:fill="FFFFFF"/>
        </w:rPr>
      </w:pPr>
    </w:p>
    <w:p w:rsidR="006B3C84" w:rsidRDefault="006B3C84" w:rsidP="00211155">
      <w:pPr>
        <w:spacing w:after="0" w:line="480" w:lineRule="auto"/>
        <w:rPr>
          <w:rFonts w:ascii="Arial" w:hAnsi="Arial" w:cs="Arial"/>
          <w:color w:val="222222"/>
          <w:sz w:val="20"/>
          <w:szCs w:val="20"/>
          <w:shd w:val="clear" w:color="auto" w:fill="FFFFFF"/>
        </w:rPr>
      </w:pPr>
    </w:p>
    <w:p w:rsidR="006B3C84" w:rsidRDefault="006B3C84" w:rsidP="00211155">
      <w:pPr>
        <w:spacing w:after="0" w:line="480" w:lineRule="auto"/>
        <w:rPr>
          <w:rFonts w:ascii="Arial" w:hAnsi="Arial" w:cs="Arial"/>
          <w:color w:val="222222"/>
          <w:sz w:val="20"/>
          <w:szCs w:val="20"/>
          <w:shd w:val="clear" w:color="auto" w:fill="FFFFFF"/>
        </w:rPr>
      </w:pPr>
    </w:p>
    <w:p w:rsidR="006B3C84" w:rsidRDefault="006B3C84" w:rsidP="00211155">
      <w:pPr>
        <w:spacing w:after="0" w:line="480" w:lineRule="auto"/>
        <w:rPr>
          <w:rFonts w:ascii="Arial" w:hAnsi="Arial" w:cs="Arial"/>
          <w:color w:val="222222"/>
          <w:sz w:val="20"/>
          <w:szCs w:val="20"/>
          <w:shd w:val="clear" w:color="auto" w:fill="FFFFFF"/>
        </w:rPr>
      </w:pPr>
    </w:p>
    <w:p w:rsidR="006B3C84" w:rsidRDefault="006B3C84" w:rsidP="00211155">
      <w:pPr>
        <w:spacing w:after="0" w:line="480" w:lineRule="auto"/>
        <w:rPr>
          <w:rFonts w:ascii="Arial" w:hAnsi="Arial" w:cs="Arial"/>
          <w:color w:val="222222"/>
          <w:sz w:val="20"/>
          <w:szCs w:val="20"/>
          <w:shd w:val="clear" w:color="auto" w:fill="FFFFFF"/>
        </w:rPr>
      </w:pPr>
    </w:p>
    <w:p w:rsidR="006B3C84" w:rsidRDefault="006B3C84" w:rsidP="00211155">
      <w:pPr>
        <w:spacing w:after="0" w:line="480" w:lineRule="auto"/>
        <w:rPr>
          <w:rFonts w:ascii="Arial" w:hAnsi="Arial" w:cs="Arial"/>
          <w:color w:val="222222"/>
          <w:sz w:val="20"/>
          <w:szCs w:val="20"/>
          <w:shd w:val="clear" w:color="auto" w:fill="FFFFFF"/>
        </w:rPr>
      </w:pPr>
    </w:p>
    <w:p w:rsidR="006B3C84" w:rsidRDefault="006B3C84" w:rsidP="00211155">
      <w:pPr>
        <w:spacing w:after="0" w:line="480" w:lineRule="auto"/>
        <w:rPr>
          <w:rFonts w:ascii="Arial" w:hAnsi="Arial" w:cs="Arial"/>
          <w:color w:val="222222"/>
          <w:sz w:val="20"/>
          <w:szCs w:val="20"/>
          <w:shd w:val="clear" w:color="auto" w:fill="FFFFFF"/>
        </w:rPr>
      </w:pPr>
    </w:p>
    <w:p w:rsidR="006B3C84" w:rsidRDefault="006B3C84" w:rsidP="00211155">
      <w:pPr>
        <w:spacing w:after="0" w:line="480" w:lineRule="auto"/>
        <w:rPr>
          <w:rFonts w:ascii="Arial" w:hAnsi="Arial" w:cs="Arial"/>
          <w:color w:val="222222"/>
          <w:sz w:val="20"/>
          <w:szCs w:val="20"/>
          <w:shd w:val="clear" w:color="auto" w:fill="FFFFFF"/>
        </w:rPr>
      </w:pPr>
    </w:p>
    <w:p w:rsidR="006B3C84" w:rsidRDefault="006B3C84" w:rsidP="00211155">
      <w:pPr>
        <w:spacing w:after="0" w:line="480" w:lineRule="auto"/>
        <w:rPr>
          <w:rFonts w:ascii="Arial" w:hAnsi="Arial" w:cs="Arial"/>
          <w:color w:val="222222"/>
          <w:sz w:val="20"/>
          <w:szCs w:val="20"/>
          <w:shd w:val="clear" w:color="auto" w:fill="FFFFFF"/>
        </w:rPr>
      </w:pPr>
    </w:p>
    <w:p w:rsidR="006B3C84" w:rsidRDefault="006B3C84" w:rsidP="00211155">
      <w:pPr>
        <w:spacing w:after="0" w:line="480" w:lineRule="auto"/>
        <w:rPr>
          <w:rFonts w:ascii="Arial" w:hAnsi="Arial" w:cs="Arial"/>
          <w:color w:val="222222"/>
          <w:sz w:val="20"/>
          <w:szCs w:val="20"/>
          <w:shd w:val="clear" w:color="auto" w:fill="FFFFFF"/>
        </w:rPr>
      </w:pPr>
    </w:p>
    <w:p w:rsidR="006B3C84" w:rsidRDefault="006B3C84" w:rsidP="00211155">
      <w:pPr>
        <w:spacing w:after="0" w:line="480" w:lineRule="auto"/>
        <w:rPr>
          <w:rFonts w:ascii="Arial" w:hAnsi="Arial" w:cs="Arial"/>
          <w:color w:val="222222"/>
          <w:sz w:val="20"/>
          <w:szCs w:val="20"/>
          <w:shd w:val="clear" w:color="auto" w:fill="FFFFFF"/>
        </w:rPr>
      </w:pPr>
    </w:p>
    <w:p w:rsidR="006B3C84" w:rsidRDefault="006B3C84" w:rsidP="00211155">
      <w:pPr>
        <w:spacing w:after="0" w:line="480" w:lineRule="auto"/>
        <w:rPr>
          <w:rFonts w:ascii="Arial" w:hAnsi="Arial" w:cs="Arial"/>
          <w:color w:val="222222"/>
          <w:sz w:val="20"/>
          <w:szCs w:val="20"/>
          <w:shd w:val="clear" w:color="auto" w:fill="FFFFFF"/>
        </w:rPr>
      </w:pPr>
    </w:p>
    <w:p w:rsidR="006B3C84" w:rsidRDefault="006B3C84" w:rsidP="00211155">
      <w:pPr>
        <w:spacing w:after="0" w:line="480" w:lineRule="auto"/>
        <w:rPr>
          <w:rFonts w:ascii="Arial" w:hAnsi="Arial" w:cs="Arial"/>
          <w:color w:val="222222"/>
          <w:sz w:val="20"/>
          <w:szCs w:val="20"/>
          <w:shd w:val="clear" w:color="auto" w:fill="FFFFFF"/>
        </w:rPr>
      </w:pPr>
    </w:p>
    <w:p w:rsidR="006B3C84" w:rsidRDefault="006B3C84" w:rsidP="006B3C84">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References</w:t>
      </w:r>
    </w:p>
    <w:p w:rsidR="006B3C84" w:rsidRPr="006B3C84" w:rsidRDefault="006B3C84" w:rsidP="006B3C84">
      <w:pPr>
        <w:spacing w:after="0" w:line="480" w:lineRule="auto"/>
        <w:ind w:left="720" w:hanging="720"/>
        <w:rPr>
          <w:rFonts w:ascii="Times New Roman" w:hAnsi="Times New Roman" w:cs="Times New Roman"/>
          <w:color w:val="222222"/>
          <w:sz w:val="24"/>
          <w:szCs w:val="24"/>
          <w:shd w:val="clear" w:color="auto" w:fill="FFFFFF"/>
        </w:rPr>
      </w:pPr>
      <w:r w:rsidRPr="006B3C84">
        <w:rPr>
          <w:rFonts w:ascii="Times New Roman" w:hAnsi="Times New Roman" w:cs="Times New Roman"/>
          <w:color w:val="222222"/>
          <w:sz w:val="24"/>
          <w:szCs w:val="24"/>
          <w:shd w:val="clear" w:color="auto" w:fill="FFFFFF"/>
        </w:rPr>
        <w:t>Bindley, T. H., &amp; Green, F. W. (1950). </w:t>
      </w:r>
      <w:r w:rsidRPr="006B3C84">
        <w:rPr>
          <w:rFonts w:ascii="Times New Roman" w:hAnsi="Times New Roman" w:cs="Times New Roman"/>
          <w:i/>
          <w:iCs/>
          <w:color w:val="222222"/>
          <w:sz w:val="24"/>
          <w:szCs w:val="24"/>
          <w:shd w:val="clear" w:color="auto" w:fill="FFFFFF"/>
        </w:rPr>
        <w:t>The oecumenical documents of the faith: The Creed of Nicaea; Three epistles of Cyril: The tome of Leo; The Chalcedonian definition: edited with introduction and notes</w:t>
      </w:r>
      <w:r w:rsidRPr="006B3C84">
        <w:rPr>
          <w:rFonts w:ascii="Times New Roman" w:hAnsi="Times New Roman" w:cs="Times New Roman"/>
          <w:color w:val="222222"/>
          <w:sz w:val="24"/>
          <w:szCs w:val="24"/>
          <w:shd w:val="clear" w:color="auto" w:fill="FFFFFF"/>
        </w:rPr>
        <w:t>. Methuen.</w:t>
      </w:r>
    </w:p>
    <w:p w:rsidR="006B3C84" w:rsidRPr="006B3C84" w:rsidRDefault="006B3C84" w:rsidP="006B3C84">
      <w:pPr>
        <w:spacing w:after="0" w:line="480" w:lineRule="auto"/>
        <w:ind w:left="720" w:hanging="720"/>
        <w:rPr>
          <w:rFonts w:ascii="Times New Roman" w:hAnsi="Times New Roman" w:cs="Times New Roman"/>
          <w:color w:val="222222"/>
          <w:sz w:val="24"/>
          <w:szCs w:val="24"/>
          <w:shd w:val="clear" w:color="auto" w:fill="FFFFFF"/>
        </w:rPr>
      </w:pPr>
      <w:r w:rsidRPr="006B3C84">
        <w:rPr>
          <w:rFonts w:ascii="Times New Roman" w:hAnsi="Times New Roman" w:cs="Times New Roman"/>
          <w:color w:val="222222"/>
          <w:sz w:val="24"/>
          <w:szCs w:val="24"/>
          <w:shd w:val="clear" w:color="auto" w:fill="FFFFFF"/>
        </w:rPr>
        <w:t>Bingham, D. J. (2014). </w:t>
      </w:r>
      <w:r w:rsidRPr="006B3C84">
        <w:rPr>
          <w:rFonts w:ascii="Times New Roman" w:hAnsi="Times New Roman" w:cs="Times New Roman"/>
          <w:i/>
          <w:iCs/>
          <w:color w:val="222222"/>
          <w:sz w:val="24"/>
          <w:szCs w:val="24"/>
          <w:shd w:val="clear" w:color="auto" w:fill="FFFFFF"/>
        </w:rPr>
        <w:t>Pocket History of the Church</w:t>
      </w:r>
      <w:r w:rsidRPr="006B3C84">
        <w:rPr>
          <w:rFonts w:ascii="Times New Roman" w:hAnsi="Times New Roman" w:cs="Times New Roman"/>
          <w:color w:val="222222"/>
          <w:sz w:val="24"/>
          <w:szCs w:val="24"/>
          <w:shd w:val="clear" w:color="auto" w:fill="FFFFFF"/>
        </w:rPr>
        <w:t>. InterVarsity Press.</w:t>
      </w:r>
    </w:p>
    <w:p w:rsidR="006B3C84" w:rsidRPr="006B3C84" w:rsidRDefault="006B3C84" w:rsidP="006B3C84">
      <w:pPr>
        <w:spacing w:after="0" w:line="480" w:lineRule="auto"/>
        <w:ind w:left="720" w:hanging="720"/>
        <w:rPr>
          <w:rFonts w:ascii="Times New Roman" w:hAnsi="Times New Roman" w:cs="Times New Roman"/>
          <w:color w:val="222222"/>
          <w:sz w:val="24"/>
          <w:szCs w:val="24"/>
          <w:shd w:val="clear" w:color="auto" w:fill="FFFFFF"/>
        </w:rPr>
      </w:pPr>
      <w:r w:rsidRPr="006B3C84">
        <w:rPr>
          <w:rFonts w:ascii="Times New Roman" w:hAnsi="Times New Roman" w:cs="Times New Roman"/>
          <w:color w:val="222222"/>
          <w:sz w:val="24"/>
          <w:szCs w:val="24"/>
          <w:shd w:val="clear" w:color="auto" w:fill="FFFFFF"/>
        </w:rPr>
        <w:t>Kerr, H. T. (2010). </w:t>
      </w:r>
      <w:r w:rsidRPr="006B3C84">
        <w:rPr>
          <w:rFonts w:ascii="Times New Roman" w:hAnsi="Times New Roman" w:cs="Times New Roman"/>
          <w:i/>
          <w:iCs/>
          <w:color w:val="222222"/>
          <w:sz w:val="24"/>
          <w:szCs w:val="24"/>
          <w:shd w:val="clear" w:color="auto" w:fill="FFFFFF"/>
        </w:rPr>
        <w:t>Readings in Christian thought</w:t>
      </w:r>
      <w:r w:rsidRPr="006B3C84">
        <w:rPr>
          <w:rFonts w:ascii="Times New Roman" w:hAnsi="Times New Roman" w:cs="Times New Roman"/>
          <w:color w:val="222222"/>
          <w:sz w:val="24"/>
          <w:szCs w:val="24"/>
          <w:shd w:val="clear" w:color="auto" w:fill="FFFFFF"/>
        </w:rPr>
        <w:t>. Abingdon Press. Retrieved from https://books.google.co.ke/books?hl=en&amp;lr=&amp;id=XbpOjjbhNFYC&amp;oi=fnd&amp;pg=PT15&amp;dq=Readings+in+Christian+Thought:+Second+Edition&amp;ots=EeBXBfrUHu&amp;sig=DysOmE-GVa1MjSK42QoRpscNYaM&amp;redir_esc=y#v=onepage&amp;q=Readings%20in%20Christian%20Thought%3A%20Second%20Edition&amp;f=false</w:t>
      </w:r>
    </w:p>
    <w:p w:rsidR="006B3C84" w:rsidRPr="006B3C84" w:rsidRDefault="006B3C84" w:rsidP="006B3C84">
      <w:pPr>
        <w:spacing w:after="0" w:line="480" w:lineRule="auto"/>
        <w:ind w:left="720" w:hanging="720"/>
        <w:rPr>
          <w:rFonts w:ascii="Times New Roman" w:hAnsi="Times New Roman" w:cs="Times New Roman"/>
          <w:color w:val="222222"/>
          <w:sz w:val="24"/>
          <w:szCs w:val="24"/>
          <w:shd w:val="clear" w:color="auto" w:fill="FFFFFF"/>
        </w:rPr>
      </w:pPr>
      <w:r w:rsidRPr="006B3C84">
        <w:rPr>
          <w:rFonts w:ascii="Times New Roman" w:hAnsi="Times New Roman" w:cs="Times New Roman"/>
          <w:color w:val="222222"/>
          <w:sz w:val="24"/>
          <w:szCs w:val="24"/>
          <w:shd w:val="clear" w:color="auto" w:fill="FFFFFF"/>
        </w:rPr>
        <w:t>Cairns, E. E. (1996). </w:t>
      </w:r>
      <w:r w:rsidRPr="006B3C84">
        <w:rPr>
          <w:rFonts w:ascii="Times New Roman" w:hAnsi="Times New Roman" w:cs="Times New Roman"/>
          <w:i/>
          <w:iCs/>
          <w:color w:val="222222"/>
          <w:sz w:val="24"/>
          <w:szCs w:val="24"/>
          <w:shd w:val="clear" w:color="auto" w:fill="FFFFFF"/>
        </w:rPr>
        <w:t>Christianity through the centuries: A history of the Christian church</w:t>
      </w:r>
      <w:r w:rsidRPr="006B3C84">
        <w:rPr>
          <w:rFonts w:ascii="Times New Roman" w:hAnsi="Times New Roman" w:cs="Times New Roman"/>
          <w:color w:val="222222"/>
          <w:sz w:val="24"/>
          <w:szCs w:val="24"/>
          <w:shd w:val="clear" w:color="auto" w:fill="FFFFFF"/>
        </w:rPr>
        <w:t>. Zondervan.</w:t>
      </w:r>
    </w:p>
    <w:p w:rsidR="00211155" w:rsidRPr="006B3C84" w:rsidRDefault="00211155" w:rsidP="006B3C84">
      <w:pPr>
        <w:spacing w:after="0" w:line="480" w:lineRule="auto"/>
        <w:ind w:left="720" w:hanging="720"/>
        <w:rPr>
          <w:rFonts w:ascii="Times New Roman" w:hAnsi="Times New Roman" w:cs="Times New Roman"/>
          <w:color w:val="222222"/>
          <w:sz w:val="24"/>
          <w:szCs w:val="24"/>
          <w:shd w:val="clear" w:color="auto" w:fill="FFFFFF"/>
        </w:rPr>
      </w:pPr>
      <w:r w:rsidRPr="006B3C84">
        <w:rPr>
          <w:rFonts w:ascii="Times New Roman" w:hAnsi="Times New Roman" w:cs="Times New Roman"/>
          <w:color w:val="222222"/>
          <w:sz w:val="24"/>
          <w:szCs w:val="24"/>
          <w:shd w:val="clear" w:color="auto" w:fill="FFFFFF"/>
        </w:rPr>
        <w:t>Lane, T., &amp; Lane, A. N. S. (2006). </w:t>
      </w:r>
      <w:r w:rsidRPr="006B3C84">
        <w:rPr>
          <w:rFonts w:ascii="Times New Roman" w:hAnsi="Times New Roman" w:cs="Times New Roman"/>
          <w:i/>
          <w:iCs/>
          <w:color w:val="222222"/>
          <w:sz w:val="24"/>
          <w:szCs w:val="24"/>
          <w:shd w:val="clear" w:color="auto" w:fill="FFFFFF"/>
        </w:rPr>
        <w:t>Concise History of Christian Thought, A</w:t>
      </w:r>
      <w:r w:rsidRPr="006B3C84">
        <w:rPr>
          <w:rFonts w:ascii="Times New Roman" w:hAnsi="Times New Roman" w:cs="Times New Roman"/>
          <w:color w:val="222222"/>
          <w:sz w:val="24"/>
          <w:szCs w:val="24"/>
          <w:shd w:val="clear" w:color="auto" w:fill="FFFFFF"/>
        </w:rPr>
        <w:t>. Baker Academic.</w:t>
      </w:r>
    </w:p>
    <w:p w:rsidR="00211155" w:rsidRPr="006B3C84" w:rsidRDefault="00211155" w:rsidP="006B3C84">
      <w:pPr>
        <w:spacing w:after="0" w:line="480" w:lineRule="auto"/>
        <w:ind w:left="720" w:hanging="720"/>
        <w:rPr>
          <w:rFonts w:ascii="Times New Roman" w:hAnsi="Times New Roman" w:cs="Times New Roman"/>
          <w:sz w:val="24"/>
          <w:szCs w:val="24"/>
        </w:rPr>
      </w:pPr>
      <w:r w:rsidRPr="006B3C84">
        <w:rPr>
          <w:rFonts w:ascii="Times New Roman" w:hAnsi="Times New Roman" w:cs="Times New Roman"/>
          <w:color w:val="222222"/>
          <w:sz w:val="24"/>
          <w:szCs w:val="24"/>
          <w:shd w:val="clear" w:color="auto" w:fill="FFFFFF"/>
        </w:rPr>
        <w:t>Harsch, L. A., Butler, R., &amp; Diègue, R. (2014). CHRISTOLOGICAL CONTROVERSIES OF THE FIRST FOUR ECUMENICAL COUNCILS. Retrieved from http://www.academia.edu/8172619/Christological_Controversies_of_the_First_Four_Ecumenical_Councils</w:t>
      </w:r>
    </w:p>
    <w:sectPr w:rsidR="00211155" w:rsidRPr="006B3C84" w:rsidSect="006B3C8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749C" w:rsidRDefault="00F3749C" w:rsidP="006B3C84">
      <w:pPr>
        <w:spacing w:after="0" w:line="240" w:lineRule="auto"/>
      </w:pPr>
      <w:r>
        <w:separator/>
      </w:r>
    </w:p>
  </w:endnote>
  <w:endnote w:type="continuationSeparator" w:id="0">
    <w:p w:rsidR="00F3749C" w:rsidRDefault="00F3749C" w:rsidP="006B3C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749C" w:rsidRDefault="00F3749C" w:rsidP="006B3C84">
      <w:pPr>
        <w:spacing w:after="0" w:line="240" w:lineRule="auto"/>
      </w:pPr>
      <w:r>
        <w:separator/>
      </w:r>
    </w:p>
  </w:footnote>
  <w:footnote w:type="continuationSeparator" w:id="0">
    <w:p w:rsidR="00F3749C" w:rsidRDefault="00F3749C" w:rsidP="006B3C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3C84" w:rsidRPr="006B3C84" w:rsidRDefault="006B3C84" w:rsidP="006B3C84">
    <w:pPr>
      <w:pStyle w:val="Header"/>
      <w:rPr>
        <w:rFonts w:ascii="Times New Roman" w:hAnsi="Times New Roman" w:cs="Times New Roman"/>
        <w:sz w:val="24"/>
        <w:szCs w:val="24"/>
      </w:rPr>
    </w:pPr>
    <w:r w:rsidRPr="006B3C84">
      <w:rPr>
        <w:rFonts w:ascii="Times New Roman" w:hAnsi="Times New Roman" w:cs="Times New Roman"/>
        <w:sz w:val="24"/>
        <w:szCs w:val="24"/>
      </w:rPr>
      <w:t>THE CHRISTOLOGICAL CONTROVERSIES</w:t>
    </w:r>
    <w:r w:rsidRPr="006B3C84">
      <w:rPr>
        <w:rFonts w:ascii="Times New Roman" w:hAnsi="Times New Roman" w:cs="Times New Roman"/>
        <w:sz w:val="24"/>
        <w:szCs w:val="24"/>
      </w:rPr>
      <w:tab/>
    </w:r>
    <w:r w:rsidRPr="006B3C84">
      <w:rPr>
        <w:rFonts w:ascii="Times New Roman" w:hAnsi="Times New Roman" w:cs="Times New Roman"/>
        <w:sz w:val="24"/>
        <w:szCs w:val="24"/>
      </w:rPr>
      <w:tab/>
    </w:r>
    <w:r w:rsidRPr="006B3C84">
      <w:rPr>
        <w:rFonts w:ascii="Times New Roman" w:hAnsi="Times New Roman" w:cs="Times New Roman"/>
        <w:sz w:val="24"/>
        <w:szCs w:val="24"/>
      </w:rPr>
      <w:fldChar w:fldCharType="begin"/>
    </w:r>
    <w:r w:rsidRPr="006B3C84">
      <w:rPr>
        <w:rFonts w:ascii="Times New Roman" w:hAnsi="Times New Roman" w:cs="Times New Roman"/>
        <w:sz w:val="24"/>
        <w:szCs w:val="24"/>
      </w:rPr>
      <w:instrText xml:space="preserve"> PAGE   \* MERGEFORMAT </w:instrText>
    </w:r>
    <w:r w:rsidRPr="006B3C84">
      <w:rPr>
        <w:rFonts w:ascii="Times New Roman" w:hAnsi="Times New Roman" w:cs="Times New Roman"/>
        <w:sz w:val="24"/>
        <w:szCs w:val="24"/>
      </w:rPr>
      <w:fldChar w:fldCharType="separate"/>
    </w:r>
    <w:r w:rsidR="008A1CD6">
      <w:rPr>
        <w:rFonts w:ascii="Times New Roman" w:hAnsi="Times New Roman" w:cs="Times New Roman"/>
        <w:noProof/>
        <w:sz w:val="24"/>
        <w:szCs w:val="24"/>
      </w:rPr>
      <w:t>4</w:t>
    </w:r>
    <w:r w:rsidRPr="006B3C84">
      <w:rPr>
        <w:rFonts w:ascii="Times New Roman" w:hAnsi="Times New Roman" w:cs="Times New Roman"/>
        <w:noProof/>
        <w:sz w:val="24"/>
        <w:szCs w:val="24"/>
      </w:rPr>
      <w:fldChar w:fldCharType="end"/>
    </w:r>
  </w:p>
  <w:p w:rsidR="006B3C84" w:rsidRDefault="006B3C8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3C84" w:rsidRPr="006B3C84" w:rsidRDefault="006B3C84">
    <w:pPr>
      <w:pStyle w:val="Header"/>
      <w:rPr>
        <w:rFonts w:ascii="Times New Roman" w:hAnsi="Times New Roman" w:cs="Times New Roman"/>
        <w:sz w:val="24"/>
        <w:szCs w:val="24"/>
      </w:rPr>
    </w:pPr>
    <w:r w:rsidRPr="006B3C84">
      <w:rPr>
        <w:rFonts w:ascii="Times New Roman" w:hAnsi="Times New Roman" w:cs="Times New Roman"/>
        <w:sz w:val="24"/>
        <w:szCs w:val="24"/>
      </w:rPr>
      <w:t>Running head: THE CHRISTOLOGICAL CONTROVERSIES</w:t>
    </w:r>
    <w:r w:rsidRPr="006B3C84">
      <w:rPr>
        <w:rFonts w:ascii="Times New Roman" w:hAnsi="Times New Roman" w:cs="Times New Roman"/>
        <w:sz w:val="24"/>
        <w:szCs w:val="24"/>
      </w:rPr>
      <w:tab/>
    </w:r>
    <w:r w:rsidRPr="006B3C84">
      <w:rPr>
        <w:rFonts w:ascii="Times New Roman" w:hAnsi="Times New Roman" w:cs="Times New Roman"/>
        <w:sz w:val="24"/>
        <w:szCs w:val="24"/>
      </w:rPr>
      <w:tab/>
    </w:r>
    <w:r w:rsidRPr="006B3C84">
      <w:rPr>
        <w:rFonts w:ascii="Times New Roman" w:hAnsi="Times New Roman" w:cs="Times New Roman"/>
        <w:sz w:val="24"/>
        <w:szCs w:val="24"/>
      </w:rPr>
      <w:fldChar w:fldCharType="begin"/>
    </w:r>
    <w:r w:rsidRPr="006B3C84">
      <w:rPr>
        <w:rFonts w:ascii="Times New Roman" w:hAnsi="Times New Roman" w:cs="Times New Roman"/>
        <w:sz w:val="24"/>
        <w:szCs w:val="24"/>
      </w:rPr>
      <w:instrText xml:space="preserve"> PAGE   \* MERGEFORMAT </w:instrText>
    </w:r>
    <w:r w:rsidRPr="006B3C84">
      <w:rPr>
        <w:rFonts w:ascii="Times New Roman" w:hAnsi="Times New Roman" w:cs="Times New Roman"/>
        <w:sz w:val="24"/>
        <w:szCs w:val="24"/>
      </w:rPr>
      <w:fldChar w:fldCharType="separate"/>
    </w:r>
    <w:r w:rsidR="008A1CD6">
      <w:rPr>
        <w:rFonts w:ascii="Times New Roman" w:hAnsi="Times New Roman" w:cs="Times New Roman"/>
        <w:noProof/>
        <w:sz w:val="24"/>
        <w:szCs w:val="24"/>
      </w:rPr>
      <w:t>1</w:t>
    </w:r>
    <w:r w:rsidRPr="006B3C8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4001"/>
    <w:rsid w:val="00211155"/>
    <w:rsid w:val="003C66E8"/>
    <w:rsid w:val="004B4F51"/>
    <w:rsid w:val="0050218F"/>
    <w:rsid w:val="005D3719"/>
    <w:rsid w:val="006109E1"/>
    <w:rsid w:val="006B3C84"/>
    <w:rsid w:val="0075649F"/>
    <w:rsid w:val="008A1CD6"/>
    <w:rsid w:val="00967593"/>
    <w:rsid w:val="00AD45E1"/>
    <w:rsid w:val="00DD56A9"/>
    <w:rsid w:val="00DE4001"/>
    <w:rsid w:val="00EB214B"/>
    <w:rsid w:val="00F3305D"/>
    <w:rsid w:val="00F3749C"/>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6B3C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3C84"/>
  </w:style>
  <w:style w:type="paragraph" w:styleId="Footer">
    <w:name w:val="footer"/>
    <w:basedOn w:val="Normal"/>
    <w:link w:val="FooterChar"/>
    <w:uiPriority w:val="99"/>
    <w:unhideWhenUsed/>
    <w:rsid w:val="006B3C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3C8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6B3C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3C84"/>
  </w:style>
  <w:style w:type="paragraph" w:styleId="Footer">
    <w:name w:val="footer"/>
    <w:basedOn w:val="Normal"/>
    <w:link w:val="FooterChar"/>
    <w:uiPriority w:val="99"/>
    <w:unhideWhenUsed/>
    <w:rsid w:val="006B3C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3C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1496</Words>
  <Characters>8531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2018-06-26T06:16:00Z</dcterms:created>
  <dcterms:modified xsi:type="dcterms:W3CDTF">2018-06-26T06:16:00Z</dcterms:modified>
</cp:coreProperties>
</file>